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16rplc-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Хохлова Александра Сергеевича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ся </w:t>
      </w:r>
      <w:r>
        <w:rPr>
          <w:rStyle w:val="cat-UserDefinedgrp-36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автономного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 9927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811017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выдано </w:t>
      </w:r>
      <w:r>
        <w:rPr>
          <w:rFonts w:ascii="Times New Roman" w:eastAsia="Times New Roman" w:hAnsi="Times New Roman" w:cs="Times New Roman"/>
          <w:sz w:val="25"/>
          <w:szCs w:val="25"/>
        </w:rPr>
        <w:t>8 июля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19 </w:t>
      </w:r>
      <w:r>
        <w:rPr>
          <w:rFonts w:ascii="Times New Roman" w:eastAsia="Times New Roman" w:hAnsi="Times New Roman" w:cs="Times New Roman"/>
          <w:sz w:val="25"/>
          <w:szCs w:val="25"/>
        </w:rPr>
        <w:t>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Хохлов А.С.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Сид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8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Излучинска в сторону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Хохлов А.С.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явился, о времени и месте рассмотрения дела извещен надлежащим образом, ходатайство об отложении судебного заседания не заявил, сведений о причинах неявки мировому судье не представил.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478926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7 часов 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Хохлов А.С.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</w:t>
      </w:r>
      <w:r>
        <w:rPr>
          <w:rFonts w:ascii="Times New Roman" w:eastAsia="Times New Roman" w:hAnsi="Times New Roman" w:cs="Times New Roman"/>
          <w:sz w:val="25"/>
          <w:szCs w:val="25"/>
        </w:rPr>
        <w:t>. В протоколе имеется объяснение лица, в отношении которого возбуждено дело об административном правонарушении «Не заметил знак»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Сид, </w:t>
      </w:r>
      <w:r>
        <w:rPr>
          <w:rStyle w:val="cat-CarNumbergrp-28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п.г.т. Излучинска 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Style w:val="cat-Addressgrp-6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место расположения патрульного автомобиля, </w:t>
      </w:r>
      <w:r>
        <w:rPr>
          <w:rFonts w:ascii="Times New Roman" w:eastAsia="Times New Roman" w:hAnsi="Times New Roman" w:cs="Times New Roman"/>
          <w:sz w:val="25"/>
          <w:szCs w:val="25"/>
        </w:rPr>
        <w:t>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1,8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Хохлов А.С.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9rplc-4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6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Сид, </w:t>
      </w:r>
      <w:r>
        <w:rPr>
          <w:rStyle w:val="cat-CarNumbergrp-28rplc-5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Хохлов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А.С.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Хохлов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А.С.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Хохлов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9rplc-5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, объяснениями Хохлова А.С., данными им при составлении протокола об административном правонарушении.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Хохлов А.С.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Хохлов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4.2</w:t>
      </w:r>
      <w:r>
        <w:rPr>
          <w:rFonts w:ascii="Times New Roman" w:eastAsia="Times New Roman" w:hAnsi="Times New Roman" w:cs="Times New Roman"/>
          <w:sz w:val="25"/>
          <w:szCs w:val="25"/>
        </w:rPr>
        <w:t>, 4.3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Хохлов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Хохлова Александра Сергеевича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10rplc-6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Style w:val="cat-ExternalSystemDefinedgrp-35rplc-6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), ИНН 8601010390, КПП 860101001, ОКТМО 71819000, р/с 03100643000000018700, банк получателя: РКЦ Ханты-Мансийск//УФК по </w:t>
      </w:r>
      <w:r>
        <w:rPr>
          <w:rStyle w:val="cat-Addressgrp-11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13664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p>
      <w:pPr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верна.</w:t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FIOgrp-16rplc-2">
    <w:name w:val="cat-FIO grp-16 rplc-2"/>
    <w:basedOn w:val="DefaultParagraphFont"/>
  </w:style>
  <w:style w:type="character" w:customStyle="1" w:styleId="cat-UserDefinedgrp-36rplc-4">
    <w:name w:val="cat-UserDefined grp-36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28rplc-15">
    <w:name w:val="cat-CarNumber grp-28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Numbergrp-28rplc-36">
    <w:name w:val="cat-CarNumber grp-28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CarNumbergrp-28rplc-53">
    <w:name w:val="cat-CarNumber grp-28 rplc-53"/>
    <w:basedOn w:val="DefaultParagraphFont"/>
  </w:style>
  <w:style w:type="character" w:customStyle="1" w:styleId="cat-Addressgrp-9rplc-57">
    <w:name w:val="cat-Address grp-9 rplc-57"/>
    <w:basedOn w:val="DefaultParagraphFont"/>
  </w:style>
  <w:style w:type="character" w:customStyle="1" w:styleId="cat-Addressgrp-10rplc-64">
    <w:name w:val="cat-Address grp-10 rplc-64"/>
    <w:basedOn w:val="DefaultParagraphFont"/>
  </w:style>
  <w:style w:type="character" w:customStyle="1" w:styleId="cat-ExternalSystemDefinedgrp-35rplc-65">
    <w:name w:val="cat-ExternalSystemDefined grp-35 rplc-65"/>
    <w:basedOn w:val="DefaultParagraphFont"/>
  </w:style>
  <w:style w:type="character" w:customStyle="1" w:styleId="cat-Addressgrp-11rplc-69">
    <w:name w:val="cat-Address grp-11 rplc-69"/>
    <w:basedOn w:val="DefaultParagraphFont"/>
  </w:style>
  <w:style w:type="character" w:customStyle="1" w:styleId="cat-Addressgrp-0rplc-71">
    <w:name w:val="cat-Address grp-0 rplc-71"/>
    <w:basedOn w:val="DefaultParagraphFont"/>
  </w:style>
  <w:style w:type="character" w:customStyle="1" w:styleId="cat-Addressgrp-0rplc-72">
    <w:name w:val="cat-Address grp-0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